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</w:rPr>
      </w:pPr>
      <w:r>
        <w:rPr>
          <w:b/>
        </w:rPr>
        <w:t>AVISO DE DISPENSA DE LICITAÇÃO</w:t>
      </w:r>
    </w:p>
    <w:p>
      <w:pPr>
        <w:pStyle w:val="ListParagraph"/>
        <w:ind w:left="0" w:hanging="0"/>
        <w:jc w:val="both"/>
        <w:rPr>
          <w:rFonts w:asciiTheme="minorHAnsi" w:eastAsiaTheme="minorHAnsi" w:hAnsiTheme="minorHAnsi"/>
          <w:highlight w:val="none"/>
          <w:shd w:fill="auto" w:val="clear"/>
        </w:rPr>
      </w:pPr>
      <w:r>
        <w:rPr>
          <w:rFonts w:asciiTheme="minorHAnsi" w:eastAsiaTheme="minorHAnsi" w:hAnsiTheme="minorHAnsi"/>
          <w:shd w:fill="auto" w:val="clear"/>
        </w:rPr>
        <w:t xml:space="preserve">Processo </w:t>
      </w:r>
      <w:r>
        <w:rPr>
          <w:rFonts w:asciiTheme="minorHAnsi" w:eastAsiaTheme="minorHAnsi" w:hAnsiTheme="minorHAnsi"/>
          <w:shd w:fill="auto" w:val="clear"/>
        </w:rPr>
        <w:t>08</w:t>
      </w:r>
      <w:r>
        <w:rPr>
          <w:rFonts w:asciiTheme="minorHAnsi" w:eastAsiaTheme="minorHAnsi" w:hAnsiTheme="minorHAnsi"/>
          <w:shd w:fill="auto" w:val="clear"/>
        </w:rPr>
        <w:t>/2024</w:t>
      </w:r>
    </w:p>
    <w:p>
      <w:pPr>
        <w:pStyle w:val="ListParagraph"/>
        <w:ind w:left="0" w:hanging="0"/>
        <w:jc w:val="both"/>
        <w:rPr>
          <w:rFonts w:asciiTheme="minorHAnsi" w:eastAsiaTheme="minorHAnsi" w:hAnsiTheme="minorHAnsi"/>
          <w:highlight w:val="none"/>
          <w:shd w:fill="auto" w:val="clear"/>
        </w:rPr>
      </w:pPr>
      <w:r>
        <w:rPr>
          <w:rFonts w:asciiTheme="minorHAnsi" w:eastAsiaTheme="minorHAnsi" w:hAnsiTheme="minorHAnsi"/>
          <w:shd w:fill="auto" w:val="clear"/>
        </w:rPr>
        <w:t>Dispensa 0</w:t>
      </w:r>
      <w:r>
        <w:rPr>
          <w:rFonts w:asciiTheme="minorHAnsi" w:eastAsiaTheme="minorHAnsi" w:hAnsiTheme="minorHAnsi"/>
          <w:shd w:fill="auto" w:val="clear"/>
        </w:rPr>
        <w:t>3</w:t>
      </w:r>
      <w:r>
        <w:rPr>
          <w:rFonts w:asciiTheme="minorHAnsi" w:eastAsiaTheme="minorHAnsi" w:hAnsiTheme="minorHAnsi"/>
          <w:shd w:fill="auto" w:val="clear"/>
        </w:rPr>
        <w:t xml:space="preserve">/2024 </w:t>
      </w:r>
    </w:p>
    <w:p>
      <w:pPr>
        <w:pStyle w:val="ListParagraph"/>
        <w:ind w:left="0" w:hanging="0"/>
        <w:jc w:val="both"/>
        <w:rPr/>
      </w:pPr>
      <w:r>
        <w:rPr>
          <w:rFonts w:asciiTheme="minorHAnsi" w:eastAsiaTheme="minorHAnsi" w:hAnsiTheme="minorHAnsi"/>
          <w:shd w:fill="auto" w:val="clear"/>
        </w:rPr>
        <w:t>COM BASE NO ART. Nº 75, IN</w:t>
      </w:r>
      <w:r>
        <w:rPr/>
        <w:t xml:space="preserve">CISO II da Lei 14.133/2021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rFonts w:cs="Calibri"/>
          <w:b/>
        </w:rPr>
        <w:t>CÂMARA MUNICIPAL DE ARAÇUAÍ/MG</w:t>
      </w:r>
      <w:r>
        <w:rPr>
          <w:rFonts w:cs="Calibri"/>
        </w:rPr>
        <w:t>, inscrita no CNPJ nº 26.201.996/0001-97, com sede na Rua São Geraldo, n° 722, Planalto, CEP 39600-000</w:t>
      </w:r>
      <w:r>
        <w:rPr/>
        <w:t xml:space="preserve">, por intermédio do Departamento de Compras, torna público que, realizará Dispensa de Licitação, com critério de julgamento MENOR, nos termos Artigo Nº 75, inciso II da Lei 14.133/2021, conforme os critérios e procedimentos a seguir definidos, objetivando obter a melhor proposta, observadas as datas e horários discriminados a seguir: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 xml:space="preserve">Data de apresentação das propostas: </w:t>
      </w:r>
      <w:r>
        <w:rPr>
          <w:rFonts w:asciiTheme="minorHAnsi" w:eastAsiaTheme="minorHAnsi" w:hAnsiTheme="minorHAnsi"/>
          <w:b/>
          <w:shd w:fill="auto" w:val="clear"/>
        </w:rPr>
        <w:t>04</w:t>
      </w:r>
      <w:r>
        <w:rPr>
          <w:rFonts w:asciiTheme="minorHAnsi" w:eastAsiaTheme="minorHAnsi" w:hAnsiTheme="minorHAnsi"/>
          <w:shd w:fill="auto" w:val="clear"/>
        </w:rPr>
        <w:t>/0</w:t>
      </w:r>
      <w:r>
        <w:rPr>
          <w:rFonts w:asciiTheme="minorHAnsi" w:eastAsiaTheme="minorHAnsi" w:hAnsiTheme="minorHAnsi"/>
          <w:shd w:fill="auto" w:val="clear"/>
        </w:rPr>
        <w:t>7</w:t>
      </w:r>
      <w:r>
        <w:rPr>
          <w:rFonts w:asciiTheme="minorHAnsi" w:eastAsiaTheme="minorHAnsi" w:hAnsiTheme="minorHAnsi"/>
          <w:shd w:fill="auto" w:val="clear"/>
        </w:rPr>
        <w:t xml:space="preserve">/2024 a </w:t>
      </w:r>
      <w:r>
        <w:rPr>
          <w:rFonts w:asciiTheme="minorHAnsi" w:eastAsiaTheme="minorHAnsi" w:hAnsiTheme="minorHAnsi"/>
          <w:b/>
          <w:shd w:fill="auto" w:val="clear"/>
        </w:rPr>
        <w:t>08</w:t>
      </w:r>
      <w:r>
        <w:rPr>
          <w:rFonts w:asciiTheme="minorHAnsi" w:eastAsiaTheme="minorHAnsi" w:hAnsiTheme="minorHAnsi"/>
          <w:shd w:fill="auto" w:val="clear"/>
        </w:rPr>
        <w:t>/0</w:t>
      </w:r>
      <w:r>
        <w:rPr>
          <w:rFonts w:asciiTheme="minorHAnsi" w:eastAsiaTheme="minorHAnsi" w:hAnsiTheme="minorHAnsi"/>
          <w:shd w:fill="auto" w:val="clear"/>
        </w:rPr>
        <w:t>7</w:t>
      </w:r>
      <w:r>
        <w:rPr>
          <w:rFonts w:asciiTheme="minorHAnsi" w:eastAsiaTheme="minorHAnsi" w:hAnsiTheme="minorHAnsi"/>
          <w:shd w:fill="auto" w:val="clear"/>
        </w:rPr>
        <w:t xml:space="preserve">/2024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 xml:space="preserve">1.0 – DO OBJETO: </w:t>
      </w:r>
    </w:p>
    <w:p>
      <w:pPr>
        <w:pStyle w:val="ListParagraph"/>
        <w:ind w:left="0" w:hanging="0"/>
        <w:jc w:val="both"/>
        <w:rPr/>
      </w:pPr>
      <w:r>
        <w:rPr/>
        <w:t xml:space="preserve">1.1. Contratação de prestação de serviços de engenharia consistentes em avaliação e consultoria técnica para elaboração de projeto de revisão de toda a rede elétrica da Câmara Municipal de Araçuaí, seus pavimentos e prédio anexo, visando adequação rede para suportar a atual demanda e projetar demanda futura. </w:t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>1.1.2 – DESCRIÇÃO DO OBJETO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1701" w:hanging="360"/>
        <w:contextualSpacing/>
        <w:jc w:val="both"/>
        <w:rPr/>
      </w:pPr>
      <w:r>
        <w:rPr/>
        <w:t>Estudar e fazer projeto da atual rede elétrica da Câmara Municipal, seus pavimentos e prédio anexo;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Propor projeto elétrico revisional, para atender a atual carga energética e projetar aumento de carga para futuro;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Adequar todos os quadros elétricos existentes, para atender normas tais como BNR 5410;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Adequar pontos de iluminação de acordo com norma NBR/ISSO 8995;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Refazer nos quadros existentes para atender a demanda de ar-condicionado;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Projeto de entrada de energia;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Consultoria visando melhorar os projetos;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Emitir projetos (atual e futuro) de demanda;</w:t>
      </w:r>
    </w:p>
    <w:p>
      <w:pPr>
        <w:pStyle w:val="ListParagraph"/>
        <w:numPr>
          <w:ilvl w:val="0"/>
          <w:numId w:val="9"/>
        </w:numPr>
        <w:spacing w:lineRule="auto" w:line="240" w:before="0" w:after="160"/>
        <w:ind w:left="1701" w:hanging="360"/>
        <w:contextualSpacing/>
        <w:jc w:val="both"/>
        <w:rPr/>
      </w:pPr>
      <w:r>
        <w:rPr/>
        <w:t>Outros serviços correlatos não descritos anteriormente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 xml:space="preserve">2.0 – DOS RECURSOS ORÇAMENTÁRIOS: </w:t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>33903900000- OUTROS SERVIÇOS TERCEIROS - PESSOA JURÍDICA- FICHA 00008 - FONTE 150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 xml:space="preserve">3.0 – DO VALOR ESTIMADO: </w:t>
      </w:r>
    </w:p>
    <w:p>
      <w:pPr>
        <w:pStyle w:val="ListParagraph"/>
        <w:ind w:left="360" w:hanging="0"/>
        <w:jc w:val="both"/>
        <w:rPr/>
      </w:pPr>
      <w:r>
        <w:rPr/>
        <w:t>Utilizou-se como referência de preço pesquisa realizada com fornecedores conhecidos, sem olvidar que poderá será publicada Aviso de Dispensa visando obter novas cotações.</w:t>
      </w:r>
    </w:p>
    <w:p>
      <w:pPr>
        <w:pStyle w:val="ListParagraph"/>
        <w:ind w:left="360" w:hanging="0"/>
        <w:jc w:val="both"/>
        <w:rPr/>
      </w:pPr>
      <w:r>
        <w:rPr/>
        <w:t>A pesquisa realizada segue abaixo planilhada: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tbl>
      <w:tblPr>
        <w:tblStyle w:val="Tabelacomgrade"/>
        <w:tblW w:w="7774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2"/>
        <w:gridCol w:w="2568"/>
        <w:gridCol w:w="2574"/>
      </w:tblGrid>
      <w:tr>
        <w:trPr/>
        <w:tc>
          <w:tcPr>
            <w:tcW w:w="263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2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DATA DO ORÇAMENTO</w:t>
            </w:r>
          </w:p>
        </w:tc>
        <w:tc>
          <w:tcPr>
            <w:tcW w:w="25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PREÇO</w:t>
            </w:r>
          </w:p>
        </w:tc>
      </w:tr>
      <w:tr>
        <w:trPr/>
        <w:tc>
          <w:tcPr>
            <w:tcW w:w="263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GMX ENGENHARIA SOLAR LTDA</w:t>
            </w:r>
          </w:p>
        </w:tc>
        <w:tc>
          <w:tcPr>
            <w:tcW w:w="2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11.06.2024</w:t>
            </w:r>
          </w:p>
        </w:tc>
        <w:tc>
          <w:tcPr>
            <w:tcW w:w="25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R$ 9.380,00</w:t>
            </w:r>
          </w:p>
        </w:tc>
      </w:tr>
      <w:tr>
        <w:trPr/>
        <w:tc>
          <w:tcPr>
            <w:tcW w:w="263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BRENO DENILSON ANDRADE REIS</w:t>
            </w:r>
          </w:p>
        </w:tc>
        <w:tc>
          <w:tcPr>
            <w:tcW w:w="2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03.06.2024</w:t>
            </w:r>
          </w:p>
        </w:tc>
        <w:tc>
          <w:tcPr>
            <w:tcW w:w="25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R$ 9.400,00</w:t>
            </w:r>
          </w:p>
        </w:tc>
      </w:tr>
      <w:tr>
        <w:trPr/>
        <w:tc>
          <w:tcPr>
            <w:tcW w:w="263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AUGUSTO MENDES RODRIGUES</w:t>
            </w:r>
          </w:p>
        </w:tc>
        <w:tc>
          <w:tcPr>
            <w:tcW w:w="2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04.06.2024</w:t>
            </w:r>
          </w:p>
        </w:tc>
        <w:tc>
          <w:tcPr>
            <w:tcW w:w="257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R$ 11.000,00</w:t>
            </w:r>
          </w:p>
        </w:tc>
      </w:tr>
    </w:tbl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  <w:t xml:space="preserve">Média total apurada: R$ </w:t>
      </w:r>
      <w:r>
        <w:rPr/>
        <w:t>9.926,66</w:t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 xml:space="preserve">4.0 – PERÍODO PARA ENVIO DA DOCUMENTAÇÃO DE HABILITAÇÃO E PROPOSTA DE PREÇO/COTAÇÃO: </w:t>
      </w:r>
    </w:p>
    <w:p>
      <w:pPr>
        <w:pStyle w:val="ListParagraph"/>
        <w:ind w:left="0" w:hanging="0"/>
        <w:jc w:val="both"/>
        <w:rPr>
          <w:b/>
        </w:rPr>
      </w:pPr>
      <w:r>
        <w:rPr/>
        <w:t xml:space="preserve">a) A presente DISPENSA DE LICITAÇÃO ficará ABERTA POR UM PERÍODO DE 03 (TRÊS) DIAS ÚTEIS, a partir da data da divulgação no site. </w:t>
      </w:r>
    </w:p>
    <w:p>
      <w:pPr>
        <w:pStyle w:val="ListParagraph"/>
        <w:ind w:left="0" w:hanging="0"/>
        <w:jc w:val="both"/>
        <w:rPr/>
      </w:pPr>
      <w:r>
        <w:rPr/>
        <w:t xml:space="preserve">b) Data limite para apresentação da proposta de preços: </w:t>
      </w:r>
      <w:r>
        <w:rPr/>
        <w:t>08/07/2024</w:t>
      </w:r>
      <w:r>
        <w:rPr/>
        <w:t xml:space="preserve">.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0"/>
        </w:numPr>
        <w:jc w:val="both"/>
        <w:rPr>
          <w:b/>
        </w:rPr>
      </w:pPr>
      <w:r>
        <w:rPr>
          <w:b/>
        </w:rPr>
        <w:t xml:space="preserve">HABILITAÇÃO JURÍDICA E FISCAL PESSOA JURÍDICA: </w:t>
      </w:r>
    </w:p>
    <w:p>
      <w:pPr>
        <w:pStyle w:val="Normal"/>
        <w:spacing w:lineRule="auto" w:line="259" w:before="0" w:after="160"/>
        <w:rPr>
          <w:b/>
        </w:rPr>
      </w:pPr>
      <w:r>
        <w:rPr>
          <w:b/>
        </w:rPr>
        <w:t>PESSOA JURÍDICA</w:t>
      </w:r>
    </w:p>
    <w:p>
      <w:pPr>
        <w:pStyle w:val="Normal"/>
        <w:spacing w:lineRule="auto" w:line="259" w:before="0" w:after="160"/>
        <w:rPr>
          <w:b/>
        </w:rPr>
      </w:pPr>
      <w:r>
        <w:rPr>
          <w:rFonts w:cs="Calibri" w:cstheme="minorHAnsi"/>
        </w:rPr>
        <w:t>Habilitação jurídica, consistindo: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Contrato social, ou ato similar;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CNPJ;</w:t>
      </w:r>
    </w:p>
    <w:p>
      <w:pPr>
        <w:pStyle w:val="Default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Prova de Regularidade Fiscal e Trabalhista, consistindo: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Prova de inscrição no Cadastro Nacional de Pessoas Jurídicas do Ministério da Fazenda - CNPJ;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Prova de inscrição no Cadastro de Contribuintes do Município relativo à sede do licitante, pertinente ao seu ramo de atividade e compatível com o objeto do certame; 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Prova de regularidade perante as Fazendas Federal, Estadual e Municipal da sede do licitante;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Certificado de Regularidade perante o Fundo de Garantia por Tempo de Serviço - FGTS; 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Prova de inexistência de débitos inadimplidos perante a Justiça do Trabalho, mediante a apresentação de certidão negativa, nos termos do Título VII-A da Consolidação das Leis do Trabalho, aprovada pelo Decreto-Lei nº. 5.452, de 1º de maio de 1943;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Prova de qualificação econômico-financeira, consistente na apresentação de Certidão negativa de falência e/ou concordata, expedida pelo distribuidor da sede da pessoa jurídica, emitida nos últimos 90 (noventa) dias;</w:t>
      </w:r>
    </w:p>
    <w:p>
      <w:pPr>
        <w:pStyle w:val="Default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Qualificação técnica, conforme abaixo:</w:t>
      </w:r>
    </w:p>
    <w:p>
      <w:pPr>
        <w:pStyle w:val="Default"/>
        <w:numPr>
          <w:ilvl w:val="0"/>
          <w:numId w:val="3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Empresa e seu(s) profissional(is) deverá(são) estar devidamente registrada(os) e quite(s) com o Conselho Regional de Engenharia e Agronomia – CREA, devendo apresentar documentos comprobatórios;</w:t>
      </w:r>
    </w:p>
    <w:p>
      <w:pPr>
        <w:pStyle w:val="Default"/>
        <w:numPr>
          <w:ilvl w:val="0"/>
          <w:numId w:val="3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Comprovação de aptidão para desempenho de atividade pertinente e compatível com as características do objeto da licitação, consistindo a comprovação, no mínimo, por meio de um atestado de capacidade técnica ou contrato, emitido por pessoa jurídica de direito público ou privado, compatível o com o objeto desta licitação.</w:t>
      </w:r>
    </w:p>
    <w:p>
      <w:pPr>
        <w:pStyle w:val="Default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Emitir as seguintes declarações:</w:t>
      </w:r>
    </w:p>
    <w:p>
      <w:pPr>
        <w:pStyle w:val="Default"/>
        <w:numPr>
          <w:ilvl w:val="0"/>
          <w:numId w:val="4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Declaração de que o licitante não é declarado inidôneo para licitar e contratar com o Poder Público ou suspenso do direito de licitar ou contratar com a Administração;</w:t>
      </w:r>
    </w:p>
    <w:p>
      <w:pPr>
        <w:pStyle w:val="Default"/>
        <w:numPr>
          <w:ilvl w:val="0"/>
          <w:numId w:val="4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Declaração de que o licitante não possui, em seu quadro, trabalhadores menores de 18 anos realizando trabalho noturno, perigoso ou insalubre e, e que em nenhuma hipótese emprega trabalhadores menores de 16 anos, salvo na condição de aprendiz, na forma da lei.</w:t>
      </w:r>
    </w:p>
    <w:p>
      <w:pPr>
        <w:pStyle w:val="Default"/>
        <w:spacing w:lineRule="auto" w:line="276"/>
        <w:ind w:left="1440" w:hanging="0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spacing w:lineRule="auto" w:line="259" w:before="0" w:after="160"/>
        <w:rPr>
          <w:b/>
        </w:rPr>
      </w:pPr>
      <w:r>
        <w:rPr>
          <w:b/>
        </w:rPr>
        <w:t>PESSOA FÍSICA</w:t>
      </w:r>
    </w:p>
    <w:p>
      <w:pPr>
        <w:pStyle w:val="Normal"/>
        <w:spacing w:lineRule="auto" w:line="259" w:before="0" w:after="160"/>
        <w:rPr>
          <w:b/>
        </w:rPr>
      </w:pPr>
      <w:r>
        <w:rPr/>
        <w:t>Habilitação jurídica, consistindo:</w:t>
      </w:r>
    </w:p>
    <w:p>
      <w:pPr>
        <w:pStyle w:val="ListParagraph"/>
        <w:numPr>
          <w:ilvl w:val="0"/>
          <w:numId w:val="5"/>
        </w:numPr>
        <w:spacing w:lineRule="auto" w:line="259" w:before="0" w:after="160"/>
        <w:contextualSpacing/>
        <w:rPr/>
      </w:pPr>
      <w:r>
        <w:rPr/>
        <w:t>Carteira de Identidade Oficial com foto;</w:t>
      </w:r>
    </w:p>
    <w:p>
      <w:pPr>
        <w:pStyle w:val="Normal"/>
        <w:spacing w:lineRule="auto" w:line="259" w:before="0" w:after="160"/>
        <w:rPr/>
      </w:pPr>
      <w:r>
        <w:rPr/>
        <w:t>Prova de Regularidade Fiscal e Trabalhista;</w:t>
      </w:r>
    </w:p>
    <w:p>
      <w:pPr>
        <w:pStyle w:val="Default"/>
        <w:numPr>
          <w:ilvl w:val="0"/>
          <w:numId w:val="6"/>
        </w:numPr>
        <w:spacing w:lineRule="auto" w:line="276"/>
        <w:ind w:left="1843" w:hanging="360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Prova de inscrição no Cadastro de Contribuintes do Município relativo à sede do licitante, pertinente ao seu ramo de atividade e compatível com o objeto do certame;  </w:t>
      </w:r>
    </w:p>
    <w:p>
      <w:pPr>
        <w:pStyle w:val="Default"/>
        <w:numPr>
          <w:ilvl w:val="0"/>
          <w:numId w:val="6"/>
        </w:numPr>
        <w:spacing w:lineRule="auto" w:line="276"/>
        <w:ind w:left="1843" w:hanging="360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Prova de regularidade perante as Fazendas Federal, Estadual e Municipal da sede do licitante; </w:t>
      </w:r>
    </w:p>
    <w:p>
      <w:pPr>
        <w:pStyle w:val="Default"/>
        <w:numPr>
          <w:ilvl w:val="0"/>
          <w:numId w:val="6"/>
        </w:numPr>
        <w:spacing w:lineRule="auto" w:line="276"/>
        <w:ind w:left="1843" w:hanging="360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Certificado de Regularidade perante o Fundo de Garantia por Tempo de Serviço - FGTS;  </w:t>
      </w:r>
    </w:p>
    <w:p>
      <w:pPr>
        <w:pStyle w:val="Default"/>
        <w:numPr>
          <w:ilvl w:val="0"/>
          <w:numId w:val="6"/>
        </w:numPr>
        <w:spacing w:lineRule="auto" w:line="276"/>
        <w:ind w:left="1843" w:hanging="360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 xml:space="preserve">Prova de inexistência de débitos inadimplidos perante a Justiça do Trabalho, mediante a apresentação de certidão negativa, nos termos do Título VII-A da Consolidação das Leis do Trabalho, aprovada pelo Decreto-Lei nº. 5.452, de 1º de maio de 1943; </w:t>
      </w:r>
    </w:p>
    <w:p>
      <w:pPr>
        <w:pStyle w:val="Default"/>
        <w:numPr>
          <w:ilvl w:val="0"/>
          <w:numId w:val="6"/>
        </w:numPr>
        <w:spacing w:lineRule="auto" w:line="276"/>
        <w:ind w:left="1843" w:hanging="360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Prova de qualificação econômico-financeira, consistente na apresentação de Certidão negativa de falência e/ou concordata, expedida pelo distribuidor da sede da pessoa jurídica, emitida nos últimos 90 (noventa) dias</w:t>
      </w:r>
    </w:p>
    <w:p>
      <w:pPr>
        <w:pStyle w:val="Normal"/>
        <w:spacing w:lineRule="auto" w:line="259" w:before="0" w:after="160"/>
        <w:rPr>
          <w:rFonts w:eastAsia="Calibri" w:cs="" w:cstheme="minorBidi" w:eastAsiaTheme="minorHAnsi"/>
        </w:rPr>
      </w:pPr>
      <w:r>
        <w:rPr>
          <w:rFonts w:cs="Calibri" w:cstheme="minorHAnsi"/>
        </w:rPr>
        <w:t>Qualificação técnica, conforme abaixo</w:t>
      </w:r>
    </w:p>
    <w:p>
      <w:pPr>
        <w:pStyle w:val="ListParagraph"/>
        <w:numPr>
          <w:ilvl w:val="0"/>
          <w:numId w:val="7"/>
        </w:numPr>
        <w:spacing w:lineRule="auto" w:line="259" w:before="0" w:after="160"/>
        <w:contextualSpacing/>
        <w:jc w:val="both"/>
        <w:rPr>
          <w:rFonts w:eastAsia="Calibri" w:cs="" w:cstheme="minorBidi" w:eastAsiaTheme="minorHAnsi"/>
        </w:rPr>
      </w:pPr>
      <w:r>
        <w:rPr>
          <w:rFonts w:cs="Calibri" w:cstheme="minorHAnsi"/>
        </w:rPr>
        <w:t>O profissional deverá estar devidamente registrado e quite com o Conselho Regional de Engenharia e Agronomia – CREA, devendo apresentar documentos comprobatórios;</w:t>
      </w:r>
    </w:p>
    <w:p>
      <w:pPr>
        <w:pStyle w:val="ListParagraph"/>
        <w:numPr>
          <w:ilvl w:val="0"/>
          <w:numId w:val="7"/>
        </w:numPr>
        <w:spacing w:lineRule="auto" w:line="259" w:before="0" w:after="160"/>
        <w:contextualSpacing/>
        <w:jc w:val="both"/>
        <w:rPr>
          <w:rFonts w:eastAsia="Calibri" w:cs="" w:cstheme="minorBidi" w:eastAsiaTheme="minorHAnsi"/>
        </w:rPr>
      </w:pPr>
      <w:r>
        <w:rPr>
          <w:rFonts w:cs="Calibri" w:cstheme="minorHAnsi"/>
        </w:rPr>
        <w:t>Comprovação de aptidão para desempenho de atividade pertinente e compatível com as características do objeto da licitação, consistindo a comprovação, no mínimo, por meio de um atestado de capacidade técnica ou contrato, emitido por pessoa jurídica de direito público ou privado, compatível o com o objeto desta licitação;</w:t>
      </w:r>
    </w:p>
    <w:p>
      <w:pPr>
        <w:pStyle w:val="Normal"/>
        <w:spacing w:lineRule="auto" w:line="259" w:before="0" w:after="160"/>
        <w:rPr/>
      </w:pPr>
      <w:r>
        <w:rPr/>
        <w:t>Emitir as seguintes declarações;</w:t>
      </w:r>
    </w:p>
    <w:p>
      <w:pPr>
        <w:pStyle w:val="Default"/>
        <w:numPr>
          <w:ilvl w:val="0"/>
          <w:numId w:val="8"/>
        </w:numPr>
        <w:spacing w:lineRule="auto" w:line="276"/>
        <w:ind w:left="1843" w:hanging="360"/>
        <w:jc w:val="both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</w:rPr>
        <w:t>Declaração de que o licitante não é declarado inidôneo para licitar e contratar com o Poder Público ou suspenso do direito de licitar ou contratar com a Administração;</w:t>
      </w:r>
    </w:p>
    <w:p>
      <w:pPr>
        <w:pStyle w:val="ListParagraph"/>
        <w:numPr>
          <w:ilvl w:val="0"/>
          <w:numId w:val="8"/>
        </w:numPr>
        <w:spacing w:lineRule="auto" w:line="259" w:before="0" w:after="160"/>
        <w:ind w:left="1843" w:hanging="360"/>
        <w:contextualSpacing/>
        <w:rPr>
          <w:rFonts w:eastAsia="Calibri" w:cs="" w:cstheme="minorBidi" w:eastAsiaTheme="minorHAnsi"/>
        </w:rPr>
      </w:pPr>
      <w:r>
        <w:rPr>
          <w:rFonts w:cs="Calibri" w:cstheme="minorHAnsi"/>
        </w:rPr>
        <w:t>Declaração de que o licitante não possui, em seu quadro, trabalhadores menores de 18 anos realizando trabalho noturno, perigoso ou insalubre e, e que em nenhuma hipótese emprega trabalhadores menores de 16 anos, salvo na condição de aprendiz, na forma da lei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 xml:space="preserve">4.2. PROPOSTA DE PREÇO/COTAÇÃO: </w:t>
      </w:r>
    </w:p>
    <w:p>
      <w:pPr>
        <w:pStyle w:val="ListParagraph"/>
        <w:ind w:left="0" w:hanging="0"/>
        <w:jc w:val="both"/>
        <w:rPr/>
      </w:pPr>
      <w:r>
        <w:rPr/>
        <w:t>4.2.1. As propostas de preço que não estiverem em consonância com as exigências deste termo de referência serão desconsideradas julgando - se pela desclassificação.</w:t>
      </w:r>
    </w:p>
    <w:p>
      <w:pPr>
        <w:pStyle w:val="ListParagraph"/>
        <w:ind w:left="0" w:hanging="0"/>
        <w:jc w:val="both"/>
        <w:rPr>
          <w:sz w:val="24"/>
        </w:rPr>
      </w:pPr>
      <w:r>
        <w:rPr/>
        <w:t xml:space="preserve">4.2.2. O envio da cotação deverá ocorrer pelo e-mail da Câmara Municipal, qual seja: </w:t>
      </w:r>
      <w:hyperlink r:id="rId2">
        <w:r>
          <w:rPr>
            <w:rStyle w:val="LinkdaInternet"/>
            <w:rFonts w:cs="Arial" w:ascii="Cambria" w:hAnsi="Cambria"/>
            <w:b/>
            <w:iCs/>
            <w:sz w:val="20"/>
            <w:szCs w:val="18"/>
          </w:rPr>
          <w:t>compras@aracuai.mg.</w:t>
        </w:r>
        <w:r>
          <w:rPr>
            <w:rStyle w:val="LinkdaInternet"/>
            <w:rFonts w:cs="Arial" w:ascii="Cambria" w:hAnsi="Cambria"/>
            <w:b/>
            <w:iCs/>
            <w:sz w:val="20"/>
            <w:szCs w:val="18"/>
          </w:rPr>
          <w:t>leg</w:t>
        </w:r>
        <w:r>
          <w:rPr>
            <w:rStyle w:val="LinkdaInternet"/>
            <w:rFonts w:cs="Arial" w:ascii="Cambria" w:hAnsi="Cambria"/>
            <w:b/>
            <w:iCs/>
            <w:sz w:val="20"/>
            <w:szCs w:val="18"/>
          </w:rPr>
          <w:t>.br</w:t>
        </w:r>
      </w:hyperlink>
      <w:r>
        <w:rPr>
          <w:rFonts w:cs="Arial" w:ascii="Cambria" w:hAnsi="Cambria"/>
          <w:b/>
          <w:iCs/>
          <w:sz w:val="20"/>
          <w:szCs w:val="18"/>
        </w:rPr>
        <w:t xml:space="preserve">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 xml:space="preserve">5.0 – DO PAGAMENTO: </w:t>
      </w:r>
    </w:p>
    <w:p>
      <w:pPr>
        <w:pStyle w:val="ListParagraph"/>
        <w:ind w:left="0" w:hanging="0"/>
        <w:jc w:val="both"/>
        <w:rPr/>
      </w:pPr>
      <w:r>
        <w:rPr/>
        <w:t xml:space="preserve">5.1. O pagamento ocorrerá em até 10 (dez) dias após a apresentação de nota fiscal e após atesto do setor competente, nos termos da Lei Federal nº 14.133/2021.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</w:rPr>
      </w:pPr>
      <w:r>
        <w:rPr>
          <w:b/>
        </w:rPr>
        <w:t>6.0 – DAS DISPOSIÇÕES GERAIS</w:t>
      </w:r>
    </w:p>
    <w:p>
      <w:pPr>
        <w:pStyle w:val="ListParagraph"/>
        <w:ind w:left="0" w:hanging="0"/>
        <w:jc w:val="both"/>
        <w:rPr/>
      </w:pPr>
      <w:r>
        <w:rPr/>
        <w:t xml:space="preserve">6.1. Poderá a Câmara revogar a presente Dispensa de Licitação, no todo ou em parte, por conveniência administrativa e interesse público, decorrente de fato superveniente, devidamente justificado. </w:t>
      </w:r>
    </w:p>
    <w:p>
      <w:pPr>
        <w:pStyle w:val="ListParagraph"/>
        <w:ind w:left="0" w:hanging="0"/>
        <w:jc w:val="both"/>
        <w:rPr/>
      </w:pPr>
      <w:r>
        <w:rPr/>
        <w:t xml:space="preserve">6.2. A Câmara deverá anular a presente Dispensa de Licitação, no todo ou em parte, sempre que acontecer ilegalidade, de ofício ou por provocação. </w:t>
      </w:r>
    </w:p>
    <w:p>
      <w:pPr>
        <w:pStyle w:val="ListParagraph"/>
        <w:ind w:left="0" w:hanging="0"/>
        <w:jc w:val="both"/>
        <w:rPr/>
      </w:pPr>
      <w:r>
        <w:rPr/>
        <w:t xml:space="preserve">6.3. A anulação do procedimento de Dispensa de Licitação, não gera direito à indenização, ressalvada o disposto no parágrafo único do art. 71 da Lei Federal nº 14.133/21. </w:t>
      </w:r>
    </w:p>
    <w:p>
      <w:pPr>
        <w:pStyle w:val="ListParagraph"/>
        <w:ind w:left="0" w:hanging="0"/>
        <w:jc w:val="both"/>
        <w:rPr/>
      </w:pPr>
      <w:r>
        <w:rPr/>
        <w:t xml:space="preserve">6.4. Após a fase de classificação das propostas, não cabe desistência dela, salvo por motivo justo decorrente de fato superveniente e aceito pelo Município. </w:t>
      </w:r>
    </w:p>
    <w:p>
      <w:pPr>
        <w:pStyle w:val="Normal"/>
        <w:spacing w:lineRule="auto" w:line="360"/>
        <w:jc w:val="both"/>
        <w:rPr/>
      </w:pPr>
      <w:r>
        <w:rPr/>
        <w:t xml:space="preserve">Araçuaí/MG, </w:t>
      </w:r>
      <w:r>
        <w:rPr/>
        <w:t>03</w:t>
      </w:r>
      <w:r>
        <w:rPr/>
        <w:t xml:space="preserve"> de ju</w:t>
      </w:r>
      <w:r>
        <w:rPr/>
        <w:t>l</w:t>
      </w:r>
      <w:r>
        <w:rPr/>
        <w:t>ho de 2024.</w:t>
      </w:r>
    </w:p>
    <w:p>
      <w:pPr>
        <w:pStyle w:val="NoSpacing"/>
        <w:jc w:val="center"/>
        <w:rPr>
          <w:b/>
        </w:rPr>
      </w:pPr>
      <w:r>
        <w:rPr>
          <w:b/>
        </w:rPr>
      </w:r>
    </w:p>
    <w:p>
      <w:pPr>
        <w:pStyle w:val="NoSpacing"/>
        <w:jc w:val="center"/>
        <w:rPr>
          <w:b/>
        </w:rPr>
      </w:pPr>
      <w:r>
        <w:rPr>
          <w:b/>
        </w:rPr>
        <w:t>RENATA DOS SANTOS BORGES</w:t>
      </w:r>
    </w:p>
    <w:p>
      <w:pPr>
        <w:pStyle w:val="ListParagraph"/>
        <w:ind w:left="0" w:hanging="0"/>
        <w:jc w:val="center"/>
        <w:rPr/>
      </w:pPr>
      <w:r>
        <w:rPr/>
        <w:t>AGENTE DE CONTRATAÇÃO</w:t>
      </w:r>
    </w:p>
    <w:p>
      <w:pPr>
        <w:pStyle w:val="ListParagraph"/>
        <w:ind w:left="0" w:hanging="0"/>
        <w:jc w:val="center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</w:r>
    </w:p>
    <w:p>
      <w:pPr>
        <w:pStyle w:val="Normal"/>
        <w:spacing w:before="0" w:after="200"/>
        <w:jc w:val="center"/>
        <w:rPr>
          <w:b/>
          <w:sz w:val="32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1700" w:gutter="0" w:header="568" w:top="181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doni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2535" w:leader="none"/>
        <w:tab w:val="center" w:pos="4252" w:leader="none"/>
        <w:tab w:val="right" w:pos="8504" w:leader="none"/>
      </w:tabs>
      <w:rPr/>
    </w:pPr>
    <w:r>
      <w:rPr/>
    </w:r>
  </w:p>
  <w:p>
    <w:pPr>
      <w:pStyle w:val="Cabealho"/>
      <w:ind w:left="-567" w:hanging="0"/>
      <w:rPr/>
    </w:pPr>
    <w:r>
      <w:rPr/>
      <w:drawing>
        <wp:inline distT="0" distB="0" distL="0" distR="0">
          <wp:extent cx="6353175" cy="790575"/>
          <wp:effectExtent l="0" t="0" r="0" b="0"/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2535" w:leader="none"/>
        <w:tab w:val="center" w:pos="4252" w:leader="none"/>
        <w:tab w:val="right" w:pos="8504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2535" w:leader="none"/>
        <w:tab w:val="center" w:pos="4252" w:leader="none"/>
        <w:tab w:val="right" w:pos="8504" w:leader="none"/>
      </w:tabs>
      <w:rPr/>
    </w:pPr>
    <w:r>
      <w:rPr/>
    </w:r>
  </w:p>
  <w:p>
    <w:pPr>
      <w:pStyle w:val="Cabealho"/>
      <w:ind w:left="-567" w:hanging="0"/>
      <w:rPr/>
    </w:pPr>
    <w:r>
      <w:rPr/>
      <w:drawing>
        <wp:inline distT="0" distB="0" distL="0" distR="0">
          <wp:extent cx="6353175" cy="790575"/>
          <wp:effectExtent l="0" t="0" r="0" b="0"/>
          <wp:docPr id="2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2535" w:leader="none"/>
        <w:tab w:val="center" w:pos="4252" w:leader="none"/>
        <w:tab w:val="right" w:pos="8504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eastAsia="Calibri" w:cs="Calibr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0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27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962e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a02d9"/>
    <w:pPr>
      <w:keepNext w:val="true"/>
      <w:tabs>
        <w:tab w:val="clear" w:pos="708"/>
        <w:tab w:val="left" w:pos="7650" w:leader="none"/>
      </w:tabs>
      <w:spacing w:lineRule="auto" w:line="240" w:before="0" w:after="0"/>
      <w:outlineLvl w:val="1"/>
    </w:pPr>
    <w:rPr>
      <w:rFonts w:ascii="Arial" w:hAnsi="Arial" w:eastAsia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be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f6d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3b7f58"/>
    <w:pPr>
      <w:spacing w:lineRule="auto" w:line="240"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55a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9045a"/>
    <w:rPr/>
  </w:style>
  <w:style w:type="character" w:styleId="RodapChar" w:customStyle="1">
    <w:name w:val="Rodapé Char"/>
    <w:basedOn w:val="DefaultParagraphFont"/>
    <w:uiPriority w:val="99"/>
    <w:qFormat/>
    <w:rsid w:val="0059045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9045a"/>
    <w:rPr>
      <w:rFonts w:ascii="Tahoma" w:hAnsi="Tahoma" w:cs="Tahoma"/>
      <w:sz w:val="16"/>
      <w:szCs w:val="16"/>
    </w:rPr>
  </w:style>
  <w:style w:type="character" w:styleId="Ttulo2Char" w:customStyle="1">
    <w:name w:val="Título 2 Char"/>
    <w:basedOn w:val="DefaultParagraphFont"/>
    <w:qFormat/>
    <w:rsid w:val="003a02d9"/>
    <w:rPr>
      <w:rFonts w:ascii="Arial" w:hAnsi="Arial" w:eastAsia="Times New Roman" w:cs="Times New Roman"/>
      <w:sz w:val="28"/>
      <w:szCs w:val="20"/>
      <w:lang w:eastAsia="pt-BR"/>
    </w:rPr>
  </w:style>
  <w:style w:type="character" w:styleId="Ttulo3Char" w:customStyle="1">
    <w:name w:val="Título 3 Char"/>
    <w:basedOn w:val="DefaultParagraphFont"/>
    <w:uiPriority w:val="9"/>
    <w:semiHidden/>
    <w:qFormat/>
    <w:rsid w:val="00707be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Corpodetexto2Char" w:customStyle="1">
    <w:name w:val="Corpo de texto 2 Char"/>
    <w:basedOn w:val="DefaultParagraphFont"/>
    <w:link w:val="BodyText2"/>
    <w:qFormat/>
    <w:rsid w:val="00707be4"/>
    <w:rPr>
      <w:rFonts w:ascii="Arial" w:hAnsi="Arial" w:eastAsia="Times New Roman" w:cs="Times New Roman"/>
      <w:sz w:val="32"/>
      <w:szCs w:val="20"/>
      <w:lang w:eastAsia="pt-BR"/>
    </w:rPr>
  </w:style>
  <w:style w:type="character" w:styleId="Corpodetexto3Char" w:customStyle="1">
    <w:name w:val="Corpo de texto 3 Char"/>
    <w:basedOn w:val="DefaultParagraphFont"/>
    <w:link w:val="BodyText3"/>
    <w:qFormat/>
    <w:rsid w:val="00707be4"/>
    <w:rPr>
      <w:rFonts w:ascii="Arial" w:hAnsi="Arial" w:eastAsia="Times New Roman" w:cs="Times New Roman"/>
      <w:sz w:val="28"/>
      <w:szCs w:val="20"/>
      <w:lang w:eastAsia="pt-BR"/>
    </w:rPr>
  </w:style>
  <w:style w:type="character" w:styleId="CorpodetextoChar" w:customStyle="1">
    <w:name w:val="Corpo de texto Char"/>
    <w:basedOn w:val="DefaultParagraphFont"/>
    <w:uiPriority w:val="99"/>
    <w:qFormat/>
    <w:rsid w:val="003b7f58"/>
    <w:rPr>
      <w:rFonts w:ascii="Calibri" w:hAnsi="Calibri" w:eastAsia="Calibri" w:cs="Times New Roman"/>
    </w:rPr>
  </w:style>
  <w:style w:type="character" w:styleId="Ttulo5Char" w:customStyle="1">
    <w:name w:val="Título 5 Char"/>
    <w:basedOn w:val="DefaultParagraphFont"/>
    <w:qFormat/>
    <w:rsid w:val="003b7f58"/>
    <w:rPr>
      <w:rFonts w:ascii="Calibri" w:hAnsi="Calibri" w:eastAsia="Times New Roman" w:cs="Times New Roman"/>
      <w:b/>
      <w:bCs/>
      <w:i/>
      <w:iCs/>
      <w:sz w:val="26"/>
      <w:szCs w:val="26"/>
      <w:lang w:eastAsia="pt-BR"/>
    </w:rPr>
  </w:style>
  <w:style w:type="character" w:styleId="LinkdaInternet">
    <w:name w:val="Hyperlink"/>
    <w:basedOn w:val="DefaultParagraphFont"/>
    <w:unhideWhenUsed/>
    <w:rsid w:val="004a17e4"/>
    <w:rPr>
      <w:color w:val="0000FF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2962e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7Char" w:customStyle="1">
    <w:name w:val="Título 7 Char"/>
    <w:basedOn w:val="DefaultParagraphFont"/>
    <w:uiPriority w:val="9"/>
    <w:semiHidden/>
    <w:qFormat/>
    <w:rsid w:val="005655a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tuloChar" w:customStyle="1">
    <w:name w:val="Título Char"/>
    <w:basedOn w:val="DefaultParagraphFont"/>
    <w:uiPriority w:val="10"/>
    <w:qFormat/>
    <w:rsid w:val="00014d3c"/>
    <w:rPr>
      <w:rFonts w:ascii="Tahoma" w:hAnsi="Tahoma" w:eastAsia="Tahoma" w:cs="Tahoma"/>
      <w:b/>
      <w:bCs/>
      <w:sz w:val="24"/>
      <w:szCs w:val="24"/>
    </w:rPr>
  </w:style>
  <w:style w:type="character" w:styleId="Ttulo4Char" w:customStyle="1">
    <w:name w:val="Título 4 Char"/>
    <w:basedOn w:val="DefaultParagraphFont"/>
    <w:uiPriority w:val="9"/>
    <w:semiHidden/>
    <w:qFormat/>
    <w:rsid w:val="00727f6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727f6d"/>
    <w:rPr>
      <w:rFonts w:ascii="Calibri" w:hAnsi="Calibri" w:eastAsia="Calibri" w:cs="Times New Roman"/>
    </w:rPr>
  </w:style>
  <w:style w:type="character" w:styleId="Apple-converted-space" w:customStyle="1">
    <w:name w:val="apple-converted-space"/>
    <w:basedOn w:val="DefaultParagraphFont"/>
    <w:qFormat/>
    <w:rsid w:val="00727f6d"/>
    <w:rPr/>
  </w:style>
  <w:style w:type="character" w:styleId="Strong">
    <w:name w:val="Strong"/>
    <w:basedOn w:val="DefaultParagraphFont"/>
    <w:uiPriority w:val="22"/>
    <w:qFormat/>
    <w:rsid w:val="00055744"/>
    <w:rPr>
      <w:b/>
      <w:bCs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semiHidden/>
    <w:qFormat/>
    <w:rsid w:val="008c0536"/>
    <w:rPr>
      <w:rFonts w:ascii="Calibri" w:hAnsi="Calibri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2760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3b7f58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1606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045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Rodap">
    <w:name w:val="Footer"/>
    <w:basedOn w:val="Normal"/>
    <w:link w:val="RodapChar"/>
    <w:uiPriority w:val="99"/>
    <w:unhideWhenUsed/>
    <w:rsid w:val="0059045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04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qFormat/>
    <w:rsid w:val="00707be4"/>
    <w:pPr>
      <w:spacing w:lineRule="auto" w:line="240" w:before="0" w:after="0"/>
      <w:jc w:val="both"/>
    </w:pPr>
    <w:rPr>
      <w:rFonts w:ascii="Arial" w:hAnsi="Arial" w:eastAsia="Times New Roman"/>
      <w:sz w:val="32"/>
      <w:szCs w:val="20"/>
      <w:lang w:eastAsia="pt-BR"/>
    </w:rPr>
  </w:style>
  <w:style w:type="paragraph" w:styleId="BodyText3">
    <w:name w:val="Body Text 3"/>
    <w:basedOn w:val="Normal"/>
    <w:link w:val="Corpodetexto3Char"/>
    <w:qFormat/>
    <w:rsid w:val="00707be4"/>
    <w:pPr>
      <w:spacing w:lineRule="auto" w:line="360" w:before="0" w:after="0"/>
      <w:jc w:val="center"/>
    </w:pPr>
    <w:rPr>
      <w:rFonts w:ascii="Arial" w:hAnsi="Arial" w:eastAsia="Times New Roman"/>
      <w:sz w:val="28"/>
      <w:szCs w:val="20"/>
      <w:lang w:eastAsia="pt-BR"/>
    </w:rPr>
  </w:style>
  <w:style w:type="paragraph" w:styleId="Default" w:customStyle="1">
    <w:name w:val="Default"/>
    <w:qFormat/>
    <w:rsid w:val="00775dd4"/>
    <w:pPr>
      <w:widowControl/>
      <w:suppressAutoHyphens w:val="true"/>
      <w:bidi w:val="0"/>
      <w:spacing w:lineRule="auto" w:line="240" w:before="0" w:after="0"/>
      <w:jc w:val="left"/>
    </w:pPr>
    <w:rPr>
      <w:rFonts w:ascii="Bodoni MT" w:hAnsi="Bodoni MT" w:eastAsia="Calibri" w:cs="Bodoni MT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9967f9"/>
    <w:pPr>
      <w:spacing w:before="0" w:after="200"/>
      <w:ind w:left="720" w:hanging="0"/>
      <w:contextualSpacing/>
    </w:pPr>
    <w:rPr/>
  </w:style>
  <w:style w:type="paragraph" w:styleId="Xl24" w:customStyle="1">
    <w:name w:val="xl24"/>
    <w:basedOn w:val="Normal"/>
    <w:qFormat/>
    <w:rsid w:val="003b7f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Textbody" w:customStyle="1">
    <w:name w:val="textbody"/>
    <w:basedOn w:val="Normal"/>
    <w:qFormat/>
    <w:rsid w:val="004a17e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abedamensagemdepois" w:customStyle="1">
    <w:name w:val="Cabeç. da mensagem depois"/>
    <w:qFormat/>
    <w:rsid w:val="00d76586"/>
    <w:pPr>
      <w:keepLines/>
      <w:widowControl/>
      <w:pBdr>
        <w:bottom w:val="single" w:sz="6" w:space="22" w:color="000000"/>
      </w:pBdr>
      <w:tabs>
        <w:tab w:val="clear" w:pos="708"/>
        <w:tab w:val="left" w:pos="1560" w:leader="none"/>
      </w:tabs>
      <w:suppressAutoHyphens w:val="true"/>
      <w:bidi w:val="0"/>
      <w:spacing w:lineRule="atLeast" w:line="415" w:before="0" w:after="400"/>
      <w:ind w:left="1560" w:right="-360" w:hanging="72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"/>
    <w:link w:val="TtuloChar"/>
    <w:uiPriority w:val="10"/>
    <w:qFormat/>
    <w:rsid w:val="00014d3c"/>
    <w:pPr>
      <w:widowControl w:val="false"/>
      <w:spacing w:lineRule="auto" w:line="240" w:before="0" w:after="0"/>
      <w:ind w:right="213" w:hanging="0"/>
      <w:jc w:val="center"/>
    </w:pPr>
    <w:rPr>
      <w:rFonts w:ascii="Tahoma" w:hAnsi="Tahoma" w:eastAsia="Tahoma" w:cs="Tahoma"/>
      <w:b/>
      <w:b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8a2082"/>
    <w:pPr>
      <w:widowControl w:val="false"/>
      <w:spacing w:lineRule="auto" w:line="240" w:before="0" w:after="0"/>
      <w:jc w:val="center"/>
    </w:pPr>
    <w:rPr>
      <w:rFonts w:ascii="Tahoma" w:hAnsi="Tahoma" w:eastAsia="Tahoma" w:cs="Tahoma"/>
    </w:rPr>
  </w:style>
  <w:style w:type="paragraph" w:styleId="NormalWeb">
    <w:name w:val="Normal (Web)"/>
    <w:basedOn w:val="Normal"/>
    <w:uiPriority w:val="99"/>
    <w:unhideWhenUsed/>
    <w:qFormat/>
    <w:rsid w:val="001b0c8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727f6d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8c0536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5c6b9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alibri"/>
      <w:color w:val="00000A"/>
      <w:kern w:val="2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a02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a208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aracuai.mg.gov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46F2-5571-4692-A24B-B3BBA986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LibreOffice/7.5.4.2$Windows_X86_64 LibreOffice_project/36ccfdc35048b057fd9854c757a8b67ec53977b6</Application>
  <AppVersion>15.0000</AppVersion>
  <Pages>4</Pages>
  <Words>1187</Words>
  <Characters>6674</Characters>
  <CharactersWithSpaces>7787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2024-06-03T17:43:00Z</dcterms:created>
  <dc:creator>Nayara Zille</dc:creator>
  <dc:description/>
  <dc:language>pt-BR</dc:language>
  <cp:lastModifiedBy/>
  <cp:lastPrinted>2024-07-03T16:16:19Z</cp:lastPrinted>
  <dcterms:modified xsi:type="dcterms:W3CDTF">2024-07-03T16:16:24Z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